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A6D3D" w14:textId="77777777" w:rsidR="004856D9" w:rsidRDefault="00877E9C">
      <w:pPr>
        <w:ind w:left="3560" w:right="3540"/>
        <w:rPr>
          <w:sz w:val="2"/>
        </w:rPr>
      </w:pPr>
      <w:r>
        <w:pict w14:anchorId="25C768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65pt;height:76.9pt">
            <v:imagedata r:id="rId6" o:title=""/>
            <o:lock v:ext="edit" aspectratio="f"/>
          </v:shape>
        </w:pict>
      </w:r>
    </w:p>
    <w:p w14:paraId="368D6AA4" w14:textId="77777777" w:rsidR="004856D9" w:rsidRDefault="004856D9">
      <w:pPr>
        <w:spacing w:after="160" w:line="240" w:lineRule="exact"/>
      </w:pPr>
    </w:p>
    <w:p w14:paraId="6A40F93B" w14:textId="77777777" w:rsidR="00897339" w:rsidRDefault="0089733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6D9" w14:paraId="5B2782C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A64810" w14:textId="77777777" w:rsidR="004856D9" w:rsidRDefault="0089733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D0D487" w14:textId="77777777" w:rsidR="004856D9" w:rsidRDefault="00897339">
      <w:pPr>
        <w:spacing w:line="240" w:lineRule="exact"/>
      </w:pPr>
      <w:r>
        <w:t xml:space="preserve"> </w:t>
      </w:r>
    </w:p>
    <w:p w14:paraId="0775F66B" w14:textId="77777777" w:rsidR="004856D9" w:rsidRDefault="004856D9">
      <w:pPr>
        <w:spacing w:after="220" w:line="240" w:lineRule="exact"/>
      </w:pPr>
    </w:p>
    <w:p w14:paraId="537B2343" w14:textId="77777777" w:rsidR="00897339" w:rsidRDefault="00897339">
      <w:pPr>
        <w:spacing w:after="220" w:line="240" w:lineRule="exact"/>
      </w:pPr>
    </w:p>
    <w:p w14:paraId="3604AA9D" w14:textId="77777777" w:rsidR="004856D9" w:rsidRDefault="0089733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6C122ABD" w14:textId="77777777" w:rsidR="004856D9" w:rsidRPr="00897339" w:rsidRDefault="004856D9">
      <w:pPr>
        <w:spacing w:line="240" w:lineRule="exact"/>
        <w:rPr>
          <w:lang w:val="fr-FR"/>
        </w:rPr>
      </w:pPr>
    </w:p>
    <w:p w14:paraId="0FFE8F79" w14:textId="77777777" w:rsidR="004856D9" w:rsidRPr="00897339" w:rsidRDefault="004856D9">
      <w:pPr>
        <w:spacing w:line="240" w:lineRule="exact"/>
        <w:rPr>
          <w:lang w:val="fr-FR"/>
        </w:rPr>
      </w:pPr>
    </w:p>
    <w:p w14:paraId="33D2BD58" w14:textId="77777777" w:rsidR="004856D9" w:rsidRPr="00897339" w:rsidRDefault="004856D9">
      <w:pPr>
        <w:spacing w:line="240" w:lineRule="exact"/>
        <w:rPr>
          <w:lang w:val="fr-FR"/>
        </w:rPr>
      </w:pPr>
    </w:p>
    <w:p w14:paraId="36B6AF23" w14:textId="77777777" w:rsidR="004856D9" w:rsidRPr="00897339" w:rsidRDefault="004856D9">
      <w:pPr>
        <w:spacing w:line="240" w:lineRule="exact"/>
        <w:rPr>
          <w:lang w:val="fr-FR"/>
        </w:rPr>
      </w:pPr>
    </w:p>
    <w:p w14:paraId="1969A736" w14:textId="77777777" w:rsidR="004856D9" w:rsidRPr="00897339" w:rsidRDefault="004856D9">
      <w:pPr>
        <w:spacing w:line="240" w:lineRule="exact"/>
        <w:rPr>
          <w:lang w:val="fr-FR"/>
        </w:rPr>
      </w:pPr>
    </w:p>
    <w:p w14:paraId="05407FC3" w14:textId="77777777" w:rsidR="004856D9" w:rsidRPr="00897339" w:rsidRDefault="004856D9">
      <w:pPr>
        <w:spacing w:line="240" w:lineRule="exact"/>
        <w:rPr>
          <w:lang w:val="fr-FR"/>
        </w:rPr>
      </w:pPr>
    </w:p>
    <w:p w14:paraId="167217B6" w14:textId="77777777" w:rsidR="004856D9" w:rsidRPr="00897339" w:rsidRDefault="004856D9">
      <w:pPr>
        <w:spacing w:line="240" w:lineRule="exact"/>
        <w:rPr>
          <w:lang w:val="fr-FR"/>
        </w:rPr>
      </w:pPr>
    </w:p>
    <w:p w14:paraId="3204599D" w14:textId="77777777" w:rsidR="004856D9" w:rsidRPr="00897339" w:rsidRDefault="004856D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856D9" w:rsidRPr="00897339" w14:paraId="689AA02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EEB439" w14:textId="77777777" w:rsidR="004856D9" w:rsidRDefault="008973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d’un ensemble de capteurs de force avec système d’acquisition et d’un mannequin de crash (tête et cou) pour l’ISAE-SUPAERO.</w:t>
            </w:r>
          </w:p>
          <w:p w14:paraId="3F84E6E4" w14:textId="77777777" w:rsidR="00897339" w:rsidRPr="00877E9C" w:rsidRDefault="008973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FF0000"/>
                <w:sz w:val="28"/>
                <w:lang w:val="fr-FR"/>
              </w:rPr>
            </w:pPr>
            <w:r w:rsidRPr="00877E9C">
              <w:rPr>
                <w:rFonts w:ascii="Arial" w:eastAsia="Arial" w:hAnsi="Arial" w:cs="Arial"/>
                <w:b/>
                <w:color w:val="FF0000"/>
                <w:sz w:val="28"/>
                <w:lang w:val="fr-FR"/>
              </w:rPr>
              <w:t xml:space="preserve">LOT </w:t>
            </w:r>
            <w:r w:rsidR="00AC6710" w:rsidRPr="00877E9C">
              <w:rPr>
                <w:rFonts w:ascii="Arial" w:eastAsia="Arial" w:hAnsi="Arial" w:cs="Arial"/>
                <w:b/>
                <w:color w:val="FF0000"/>
                <w:sz w:val="28"/>
                <w:lang w:val="fr-FR"/>
              </w:rPr>
              <w:t>3</w:t>
            </w:r>
            <w:r w:rsidRPr="00877E9C">
              <w:rPr>
                <w:rFonts w:ascii="Arial" w:eastAsia="Arial" w:hAnsi="Arial" w:cs="Arial"/>
                <w:b/>
                <w:color w:val="FF0000"/>
                <w:sz w:val="28"/>
                <w:lang w:val="fr-FR"/>
              </w:rPr>
              <w:t> : C</w:t>
            </w:r>
            <w:r w:rsidR="00AC6710" w:rsidRPr="00877E9C">
              <w:rPr>
                <w:rFonts w:ascii="Arial" w:eastAsia="Arial" w:hAnsi="Arial" w:cs="Arial"/>
                <w:b/>
                <w:color w:val="FF0000"/>
                <w:sz w:val="28"/>
                <w:lang w:val="fr-FR"/>
              </w:rPr>
              <w:t>ible vulnérable</w:t>
            </w:r>
          </w:p>
        </w:tc>
      </w:tr>
    </w:tbl>
    <w:p w14:paraId="0EFEE485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p w14:paraId="63916874" w14:textId="77777777" w:rsidR="00897339" w:rsidRPr="00897339" w:rsidRDefault="00897339">
      <w:pPr>
        <w:spacing w:line="240" w:lineRule="exact"/>
        <w:rPr>
          <w:lang w:val="fr-FR"/>
        </w:rPr>
      </w:pPr>
    </w:p>
    <w:p w14:paraId="5C611570" w14:textId="77777777" w:rsidR="004856D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p w14:paraId="138047BA" w14:textId="77777777" w:rsidR="0089733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</w:p>
    <w:p w14:paraId="3B4C5C79" w14:textId="77777777" w:rsidR="00897339" w:rsidRDefault="00897339" w:rsidP="00897339">
      <w:pPr>
        <w:spacing w:line="240" w:lineRule="exact"/>
        <w:ind w:left="1701"/>
        <w:rPr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CONTRAT N° 2025-FCS-0021</w:t>
      </w:r>
      <w:r w:rsidR="00AC6710">
        <w:rPr>
          <w:rFonts w:ascii="Arial" w:eastAsia="Arial" w:hAnsi="Arial" w:cs="Arial"/>
          <w:b/>
          <w:color w:val="000000"/>
          <w:lang w:val="fr-FR"/>
        </w:rPr>
        <w:t xml:space="preserve"> /03</w:t>
      </w:r>
    </w:p>
    <w:p w14:paraId="7B8466BE" w14:textId="77777777" w:rsidR="0089733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</w:p>
    <w:p w14:paraId="21669098" w14:textId="77777777" w:rsidR="004856D9" w:rsidRPr="00AC6710" w:rsidRDefault="00897339">
      <w:pPr>
        <w:spacing w:after="40" w:line="240" w:lineRule="exact"/>
        <w:rPr>
          <w:lang w:val="fr-FR"/>
        </w:rPr>
      </w:pPr>
      <w:r w:rsidRPr="00AC6710">
        <w:rPr>
          <w:lang w:val="fr-FR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856D9" w14:paraId="563FF3E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DD93" w14:textId="77777777" w:rsidR="004856D9" w:rsidRDefault="0089733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23FC0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593A" w14:textId="77777777" w:rsidR="004856D9" w:rsidRDefault="0089733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E7D3CC9" w14:textId="77777777" w:rsidR="004856D9" w:rsidRDefault="00897339">
      <w:pPr>
        <w:spacing w:line="240" w:lineRule="exact"/>
      </w:pPr>
      <w:r>
        <w:t xml:space="preserve"> </w:t>
      </w:r>
    </w:p>
    <w:p w14:paraId="5591D09F" w14:textId="77777777" w:rsidR="004856D9" w:rsidRDefault="004856D9">
      <w:pPr>
        <w:spacing w:after="100" w:line="240" w:lineRule="exact"/>
      </w:pPr>
    </w:p>
    <w:p w14:paraId="55FD494A" w14:textId="77777777" w:rsidR="00897339" w:rsidRDefault="00897339">
      <w:pPr>
        <w:spacing w:after="100" w:line="240" w:lineRule="exact"/>
      </w:pPr>
    </w:p>
    <w:p w14:paraId="70F17A71" w14:textId="77777777" w:rsidR="00897339" w:rsidRDefault="00897339">
      <w:pPr>
        <w:spacing w:after="100" w:line="240" w:lineRule="exact"/>
      </w:pPr>
    </w:p>
    <w:p w14:paraId="7AF323BA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Institut Supérieur de l'Aéronautique et de l'Espace </w:t>
      </w:r>
    </w:p>
    <w:p w14:paraId="5CAE9F50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Avenue Marc Pélegrin</w:t>
      </w:r>
    </w:p>
    <w:p w14:paraId="3222ACEF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54032</w:t>
      </w:r>
    </w:p>
    <w:p w14:paraId="775123BD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31055 TOULOUSE CEDEX 4</w:t>
      </w:r>
    </w:p>
    <w:p w14:paraId="7ED4FE78" w14:textId="77777777" w:rsidR="004856D9" w:rsidRDefault="004856D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856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4C3348B0" w14:textId="77777777" w:rsidR="004856D9" w:rsidRDefault="0089733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67874F5" w14:textId="77777777" w:rsidR="004856D9" w:rsidRDefault="004856D9">
      <w:pPr>
        <w:spacing w:after="80" w:line="240" w:lineRule="exact"/>
      </w:pPr>
    </w:p>
    <w:p w14:paraId="362BBFDC" w14:textId="77777777" w:rsidR="00E91BC4" w:rsidRDefault="008973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1579154" w:history="1">
        <w:r w:rsidR="00E91BC4" w:rsidRPr="0032665F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_Toc201579154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3</w:t>
        </w:r>
        <w:r w:rsidR="00E91BC4">
          <w:rPr>
            <w:noProof/>
          </w:rPr>
          <w:fldChar w:fldCharType="end"/>
        </w:r>
      </w:hyperlink>
    </w:p>
    <w:p w14:paraId="476C2121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55" w:history="1">
        <w:r w:rsidR="00E91BC4" w:rsidRPr="0032665F">
          <w:rPr>
            <w:rStyle w:val="Lienhypertexte"/>
            <w:rFonts w:eastAsia="Arial"/>
            <w:noProof/>
            <w:lang w:val="fr-FR"/>
          </w:rPr>
          <w:t>2 - Identification de l'acheteur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_Toc201579155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3</w:t>
        </w:r>
        <w:r w:rsidR="00E91BC4">
          <w:rPr>
            <w:noProof/>
          </w:rPr>
          <w:fldChar w:fldCharType="end"/>
        </w:r>
      </w:hyperlink>
    </w:p>
    <w:p w14:paraId="1A3FD066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56" w:history="1">
        <w:r w:rsidR="00E91BC4" w:rsidRPr="0032665F">
          <w:rPr>
            <w:rStyle w:val="Lienhypertexte"/>
            <w:rFonts w:eastAsia="Arial"/>
            <w:noProof/>
            <w:lang w:val="fr-FR"/>
          </w:rPr>
          <w:t>3 - Identification du co-contractant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_Toc201579156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3</w:t>
        </w:r>
        <w:r w:rsidR="00E91BC4">
          <w:rPr>
            <w:noProof/>
          </w:rPr>
          <w:fldChar w:fldCharType="end"/>
        </w:r>
      </w:hyperlink>
    </w:p>
    <w:p w14:paraId="1D2A91A1" w14:textId="77777777" w:rsidR="00E91BC4" w:rsidRDefault="00877E9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57" w:history="1">
        <w:r w:rsidR="00E91BC4" w:rsidRPr="0032665F">
          <w:rPr>
            <w:rStyle w:val="Lienhypertexte"/>
            <w:rFonts w:eastAsia="Arial"/>
            <w:noProof/>
            <w:lang w:val="fr-FR"/>
          </w:rPr>
          <w:t>4.1 - Objet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_Toc201579157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4</w:t>
        </w:r>
        <w:r w:rsidR="00E91BC4">
          <w:rPr>
            <w:noProof/>
          </w:rPr>
          <w:fldChar w:fldCharType="end"/>
        </w:r>
      </w:hyperlink>
    </w:p>
    <w:p w14:paraId="0521864A" w14:textId="77777777" w:rsidR="00E91BC4" w:rsidRDefault="00877E9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58" w:history="1">
        <w:r w:rsidR="00E91BC4" w:rsidRPr="0032665F">
          <w:rPr>
            <w:rStyle w:val="Lienhypertexte"/>
            <w:rFonts w:eastAsia="Arial"/>
            <w:noProof/>
            <w:lang w:val="fr-FR"/>
          </w:rPr>
          <w:t>4.2 - Mode de passation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_Toc201579158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4</w:t>
        </w:r>
        <w:r w:rsidR="00E91BC4">
          <w:rPr>
            <w:noProof/>
          </w:rPr>
          <w:fldChar w:fldCharType="end"/>
        </w:r>
      </w:hyperlink>
    </w:p>
    <w:p w14:paraId="72296C38" w14:textId="77777777" w:rsidR="00E91BC4" w:rsidRDefault="00877E9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59" w:history="1">
        <w:r w:rsidR="00E91BC4" w:rsidRPr="0032665F">
          <w:rPr>
            <w:rStyle w:val="Lienhypertexte"/>
            <w:rFonts w:eastAsia="Arial"/>
            <w:noProof/>
            <w:lang w:val="fr-FR"/>
          </w:rPr>
          <w:t>4.3 - Forme de contrat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_Toc201579159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5</w:t>
        </w:r>
        <w:r w:rsidR="00E91BC4">
          <w:rPr>
            <w:noProof/>
          </w:rPr>
          <w:fldChar w:fldCharType="end"/>
        </w:r>
      </w:hyperlink>
    </w:p>
    <w:p w14:paraId="3A29880C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60" w:history="1">
        <w:r w:rsidR="00E91BC4" w:rsidRPr="0032665F">
          <w:rPr>
            <w:rStyle w:val="Lienhypertexte"/>
            <w:rFonts w:eastAsia="Arial"/>
            <w:noProof/>
            <w:lang w:val="fr-FR"/>
          </w:rPr>
          <w:t>5 - Prix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_Toc201579160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5</w:t>
        </w:r>
        <w:r w:rsidR="00E91BC4">
          <w:rPr>
            <w:noProof/>
          </w:rPr>
          <w:fldChar w:fldCharType="end"/>
        </w:r>
      </w:hyperlink>
    </w:p>
    <w:p w14:paraId="6654F6D2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61" w:history="1">
        <w:r w:rsidR="00E91BC4" w:rsidRPr="0032665F">
          <w:rPr>
            <w:rStyle w:val="Lienhypertexte"/>
            <w:rFonts w:eastAsia="Arial"/>
            <w:noProof/>
            <w:lang w:val="fr-FR"/>
          </w:rPr>
          <w:t>6 - Durée et Délais d'exécution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_Toc201579161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5</w:t>
        </w:r>
        <w:r w:rsidR="00E91BC4">
          <w:rPr>
            <w:noProof/>
          </w:rPr>
          <w:fldChar w:fldCharType="end"/>
        </w:r>
      </w:hyperlink>
    </w:p>
    <w:p w14:paraId="648DB48C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62" w:history="1">
        <w:r w:rsidR="00E91BC4" w:rsidRPr="0032665F">
          <w:rPr>
            <w:rStyle w:val="Lienhypertexte"/>
            <w:rFonts w:eastAsia="Arial"/>
            <w:noProof/>
            <w:lang w:val="fr-FR"/>
          </w:rPr>
          <w:t>7 - Paiement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_Toc201579162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5</w:t>
        </w:r>
        <w:r w:rsidR="00E91BC4">
          <w:rPr>
            <w:noProof/>
          </w:rPr>
          <w:fldChar w:fldCharType="end"/>
        </w:r>
      </w:hyperlink>
    </w:p>
    <w:p w14:paraId="2B544C08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63" w:history="1">
        <w:r w:rsidR="00E91BC4" w:rsidRPr="0032665F">
          <w:rPr>
            <w:rStyle w:val="Lienhypertexte"/>
            <w:rFonts w:eastAsia="Arial"/>
            <w:noProof/>
            <w:lang w:val="fr-FR"/>
          </w:rPr>
          <w:t>8 - Avance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_Toc201579163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6</w:t>
        </w:r>
        <w:r w:rsidR="00E91BC4">
          <w:rPr>
            <w:noProof/>
          </w:rPr>
          <w:fldChar w:fldCharType="end"/>
        </w:r>
      </w:hyperlink>
    </w:p>
    <w:p w14:paraId="5BF59B55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64" w:history="1">
        <w:r w:rsidR="00E91BC4" w:rsidRPr="0032665F">
          <w:rPr>
            <w:rStyle w:val="Lienhypertexte"/>
            <w:rFonts w:eastAsia="Arial"/>
            <w:noProof/>
            <w:lang w:val="fr-FR"/>
          </w:rPr>
          <w:t>9 - Nomenclature(s)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_Toc201579164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6</w:t>
        </w:r>
        <w:r w:rsidR="00E91BC4">
          <w:rPr>
            <w:noProof/>
          </w:rPr>
          <w:fldChar w:fldCharType="end"/>
        </w:r>
      </w:hyperlink>
    </w:p>
    <w:p w14:paraId="7854F034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65" w:history="1">
        <w:r w:rsidR="00E91BC4" w:rsidRPr="0032665F">
          <w:rPr>
            <w:rStyle w:val="Lienhypertexte"/>
            <w:rFonts w:eastAsia="Arial"/>
            <w:noProof/>
            <w:lang w:val="fr-FR"/>
          </w:rPr>
          <w:t>10 - Signature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_Toc201579165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7</w:t>
        </w:r>
        <w:r w:rsidR="00E91BC4">
          <w:rPr>
            <w:noProof/>
          </w:rPr>
          <w:fldChar w:fldCharType="end"/>
        </w:r>
      </w:hyperlink>
    </w:p>
    <w:p w14:paraId="6D900368" w14:textId="77777777" w:rsidR="00E91BC4" w:rsidRDefault="00877E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9166" w:history="1">
        <w:r w:rsidR="00E91BC4" w:rsidRPr="0032665F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 w:rsidR="00E91BC4">
          <w:rPr>
            <w:noProof/>
          </w:rPr>
          <w:tab/>
        </w:r>
        <w:r w:rsidR="00E91BC4">
          <w:rPr>
            <w:noProof/>
          </w:rPr>
          <w:fldChar w:fldCharType="begin"/>
        </w:r>
        <w:r w:rsidR="00E91BC4">
          <w:rPr>
            <w:noProof/>
          </w:rPr>
          <w:instrText xml:space="preserve"> PAGEREF _Toc201579166 \h </w:instrText>
        </w:r>
        <w:r w:rsidR="00E91BC4">
          <w:rPr>
            <w:noProof/>
          </w:rPr>
        </w:r>
        <w:r w:rsidR="00E91BC4">
          <w:rPr>
            <w:noProof/>
          </w:rPr>
          <w:fldChar w:fldCharType="separate"/>
        </w:r>
        <w:r w:rsidR="00E91BC4">
          <w:rPr>
            <w:noProof/>
          </w:rPr>
          <w:t>9</w:t>
        </w:r>
        <w:r w:rsidR="00E91BC4">
          <w:rPr>
            <w:noProof/>
          </w:rPr>
          <w:fldChar w:fldCharType="end"/>
        </w:r>
      </w:hyperlink>
    </w:p>
    <w:p w14:paraId="48DFAB2F" w14:textId="77777777" w:rsidR="004856D9" w:rsidRDefault="0089733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4856D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7B71466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1"/>
      <w:bookmarkStart w:id="1" w:name="_Toc201579154"/>
      <w:bookmarkEnd w:id="0"/>
      <w:r>
        <w:rPr>
          <w:rFonts w:eastAsia="Arial"/>
          <w:color w:val="000000"/>
          <w:sz w:val="28"/>
          <w:lang w:val="fr-FR"/>
        </w:rPr>
        <w:lastRenderedPageBreak/>
        <w:t>1 - 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856D9" w14:paraId="3F420BC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65D3A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618D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4856D9" w:rsidRPr="000141E3" w14:paraId="2647AC1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BBEA" w14:textId="77777777" w:rsidR="004856D9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EC0D" w14:textId="77777777" w:rsidR="004856D9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Capteurs de force tri-axes</w:t>
            </w:r>
          </w:p>
        </w:tc>
      </w:tr>
      <w:tr w:rsidR="004856D9" w14:paraId="5086506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150C3" w14:textId="77777777" w:rsidR="004856D9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405FC" w14:textId="77777777" w:rsidR="004856D9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Système d’acquisition rapide multivoies</w:t>
            </w:r>
          </w:p>
        </w:tc>
      </w:tr>
      <w:tr w:rsidR="004856D9" w14:paraId="67666A6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D15E" w14:textId="77777777" w:rsidR="004856D9" w:rsidRPr="00877E9C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DB57" w14:textId="77777777" w:rsidR="004856D9" w:rsidRPr="00877E9C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  <w:t>Cible vulnérable</w:t>
            </w:r>
          </w:p>
        </w:tc>
      </w:tr>
    </w:tbl>
    <w:p w14:paraId="5F0DBEEC" w14:textId="77777777" w:rsidR="0089733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ArtL1_AE-3-A2"/>
      <w:bookmarkEnd w:id="2"/>
    </w:p>
    <w:p w14:paraId="2D625015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3" w:name="_Toc201579155"/>
      <w:r>
        <w:rPr>
          <w:rFonts w:eastAsia="Arial"/>
          <w:color w:val="000000"/>
          <w:sz w:val="28"/>
          <w:lang w:val="fr-FR"/>
        </w:rPr>
        <w:t>2 - Identification de l'acheteur</w:t>
      </w:r>
      <w:bookmarkEnd w:id="3"/>
    </w:p>
    <w:p w14:paraId="2FA70222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w14:paraId="35099749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14:paraId="4BFDA98E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Marie-Hélène BAROUX la Directrice Générale</w:t>
      </w:r>
    </w:p>
    <w:p w14:paraId="5D5E84DA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14:paraId="0E1B77FD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4" w:name="ArtL1_AE-3-A3"/>
      <w:bookmarkStart w:id="5" w:name="_Toc201579156"/>
      <w:bookmarkEnd w:id="4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5"/>
    </w:p>
    <w:p w14:paraId="4ED6E1C0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14:paraId="3133F5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6F79" w14:textId="77777777" w:rsidR="004856D9" w:rsidRDefault="00877E9C">
            <w:pPr>
              <w:rPr>
                <w:sz w:val="2"/>
              </w:rPr>
            </w:pPr>
            <w:r>
              <w:pict w14:anchorId="6E12C7BC">
                <v:shape id="_x0000_i1026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43DF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F6E1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856D9" w14:paraId="517DE9EA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3A7F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F6D38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6027A3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3976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49C71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8173752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:rsidRPr="000141E3" w14:paraId="26CE2A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20621" w14:textId="77777777" w:rsidR="004856D9" w:rsidRDefault="00877E9C">
            <w:pPr>
              <w:rPr>
                <w:sz w:val="2"/>
              </w:rPr>
            </w:pPr>
            <w:r>
              <w:pict w14:anchorId="618568BD">
                <v:shape id="_x0000_i1027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E273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93409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4856D9" w:rsidRPr="000141E3" w14:paraId="493E6376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EFD7A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F15A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452FB1D4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A7DC1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757C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F76B9E6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5FCF0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564B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4FB9B96B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65D1C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EC99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1648B1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B23D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B1DD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6BB513C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7A314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80DE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4F7BEC0A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8223E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68E40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01B1DB6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:rsidRPr="000141E3" w14:paraId="18D11013" w14:textId="77777777" w:rsidTr="0089733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C668" w14:textId="77777777" w:rsidR="004856D9" w:rsidRDefault="00877E9C">
            <w:pPr>
              <w:rPr>
                <w:sz w:val="2"/>
              </w:rPr>
            </w:pPr>
            <w:r>
              <w:pict w14:anchorId="560FF4CC">
                <v:shape id="_x0000_i1028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B3DDB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A545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856D9" w:rsidRPr="000141E3" w14:paraId="760594DF" w14:textId="77777777" w:rsidTr="00897339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271BC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2020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40C1304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D1B48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C8522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39E612E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233A1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383A7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6F3C4B6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2EE70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21887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5FC8A5E9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E79DF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62E3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5FF4435E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1CE10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AFD4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1D5C21E" w14:textId="77777777" w:rsidTr="00897339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96988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24DF7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084B405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14:paraId="03EC9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E35B" w14:textId="77777777" w:rsidR="004856D9" w:rsidRDefault="00877E9C">
            <w:pPr>
              <w:rPr>
                <w:sz w:val="2"/>
              </w:rPr>
            </w:pPr>
            <w:r>
              <w:pict w14:anchorId="3D2F23A8">
                <v:shape id="_x0000_i1029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10C19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CD0F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856D9" w14:paraId="4BA0A71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8085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4B857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8A2BDC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5F943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8611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6564045" w14:textId="77777777" w:rsidR="004856D9" w:rsidRDefault="00897339">
      <w:pPr>
        <w:spacing w:after="20" w:line="240" w:lineRule="exact"/>
      </w:pPr>
      <w:r>
        <w:t xml:space="preserve"> </w:t>
      </w:r>
    </w:p>
    <w:p w14:paraId="45EC88E2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E4C1C92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61AE7D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0D80A" w14:textId="77777777" w:rsidR="004856D9" w:rsidRDefault="00877E9C">
            <w:pPr>
              <w:rPr>
                <w:sz w:val="2"/>
              </w:rPr>
            </w:pPr>
            <w:r>
              <w:pict w14:anchorId="5477ACF0">
                <v:shape id="_x0000_i1030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F103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0A2E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E21A045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074FE1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7997" w14:textId="77777777" w:rsidR="004856D9" w:rsidRDefault="00877E9C">
            <w:pPr>
              <w:rPr>
                <w:sz w:val="2"/>
              </w:rPr>
            </w:pPr>
            <w:r>
              <w:pict w14:anchorId="0E3242EA">
                <v:shape id="_x0000_i1031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B7FE2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B57A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E998FC4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0141E3" w14:paraId="4D36EC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24EE" w14:textId="77777777" w:rsidR="004856D9" w:rsidRDefault="00877E9C">
            <w:pPr>
              <w:rPr>
                <w:sz w:val="2"/>
              </w:rPr>
            </w:pPr>
            <w:r>
              <w:pict w14:anchorId="393DC8AD">
                <v:shape id="_x0000_i1032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E5FF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F4E6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F1DC4A0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6D9" w:rsidRPr="000141E3" w14:paraId="0FEB039E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CFB14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8F6A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B72C4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6788C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B7CE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86CA9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364CD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EDEF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1F613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BE86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F874B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81B8F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4503D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6F6E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4C959F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D248D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0032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7DA471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36BD3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C36A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BE618B2" w14:textId="77777777" w:rsidR="004856D9" w:rsidRDefault="00897339">
      <w:pPr>
        <w:spacing w:after="20" w:line="240" w:lineRule="exact"/>
      </w:pPr>
      <w:r>
        <w:t xml:space="preserve"> </w:t>
      </w:r>
    </w:p>
    <w:p w14:paraId="054E2841" w14:textId="77777777" w:rsidR="004856D9" w:rsidRDefault="00897339" w:rsidP="00E91BC4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E91BC4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226AF2F2" w14:textId="77777777" w:rsidR="00897339" w:rsidRDefault="00897339" w:rsidP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6" w:name="ArtL1_AE-3-A4"/>
      <w:bookmarkEnd w:id="6"/>
    </w:p>
    <w:p w14:paraId="7BF703A1" w14:textId="77777777" w:rsidR="004856D9" w:rsidRDefault="00897339" w:rsidP="00897339">
      <w:pPr>
        <w:pStyle w:val="ParagrapheIndent1"/>
        <w:spacing w:line="253" w:lineRule="exact"/>
        <w:jc w:val="both"/>
        <w:rPr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4 - Dispositions générales</w:t>
      </w:r>
    </w:p>
    <w:p w14:paraId="4E532FE6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01579157"/>
      <w:bookmarkEnd w:id="7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8"/>
    </w:p>
    <w:p w14:paraId="6861607F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fourniture d’un ensemble de capteurs de force avec système d’acquisition et d’un mannequin de crash (tête et cou) pour l’ISAE-SUPAERO.</w:t>
      </w:r>
    </w:p>
    <w:p w14:paraId="7ABFCF16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Dans le cadre du projet </w:t>
      </w:r>
      <w:proofErr w:type="spellStart"/>
      <w:r>
        <w:rPr>
          <w:color w:val="000000"/>
          <w:lang w:val="fr-FR"/>
        </w:rPr>
        <w:t>CertiDrone</w:t>
      </w:r>
      <w:proofErr w:type="spellEnd"/>
      <w:r>
        <w:rPr>
          <w:color w:val="000000"/>
          <w:lang w:val="fr-FR"/>
        </w:rPr>
        <w:t>, la création d’un banc d’essais est prévue pour examiner les scénarios d’impact d’un drone sur une structure ou un mannequin instrumenté. Il s’agit d’un dispositif d'essais au crash de drones (</w:t>
      </w:r>
      <w:r w:rsidR="000141E3">
        <w:rPr>
          <w:color w:val="000000"/>
          <w:lang w:val="fr-FR"/>
        </w:rPr>
        <w:t>≤</w:t>
      </w:r>
      <w:r>
        <w:rPr>
          <w:color w:val="000000"/>
          <w:lang w:val="fr-FR"/>
        </w:rPr>
        <w:t>4 kg) avec système de lancement (≤20m/s), mur d'impact, instrumentations en temps réel d'observation de l'impact et des débris générés et des dommages subis par les cibles. Le présent marché a pour but de compléter les équipements de ce banc.</w:t>
      </w:r>
    </w:p>
    <w:p w14:paraId="2B786EDD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CCP sont réparties en 3 lots. Le présent Acte d’engagement ne concerne que le </w:t>
      </w:r>
      <w:r w:rsidRPr="00897339">
        <w:rPr>
          <w:b/>
          <w:color w:val="000000"/>
          <w:lang w:val="fr-FR"/>
        </w:rPr>
        <w:t xml:space="preserve">lot </w:t>
      </w:r>
      <w:r w:rsidR="00AC6710">
        <w:rPr>
          <w:b/>
          <w:color w:val="000000"/>
          <w:lang w:val="fr-FR"/>
        </w:rPr>
        <w:t>3</w:t>
      </w:r>
      <w:r w:rsidRPr="00897339">
        <w:rPr>
          <w:b/>
          <w:color w:val="000000"/>
          <w:lang w:val="fr-FR"/>
        </w:rPr>
        <w:t xml:space="preserve"> : </w:t>
      </w:r>
      <w:r w:rsidR="00AC6710" w:rsidRPr="00AC6710">
        <w:rPr>
          <w:b/>
          <w:szCs w:val="22"/>
          <w:lang w:val="fr-FR"/>
        </w:rPr>
        <w:t>cible vulnérable constituée d’une tête de mannequin de crash, équipée du cou et de la nuque permettant l’insertion d’un capteur de force (thorax en PSE)</w:t>
      </w:r>
      <w:r w:rsidRPr="00AC6710">
        <w:rPr>
          <w:b/>
          <w:color w:val="000000"/>
          <w:lang w:val="fr-FR"/>
        </w:rPr>
        <w:t>.</w:t>
      </w:r>
    </w:p>
    <w:p w14:paraId="4641CF1B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01579158"/>
      <w:bookmarkEnd w:id="9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0"/>
    </w:p>
    <w:p w14:paraId="65B308D6" w14:textId="77777777" w:rsidR="004856D9" w:rsidRDefault="00897339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066E544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01579159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4.3 - Forme de contrat</w:t>
      </w:r>
      <w:bookmarkEnd w:id="12"/>
    </w:p>
    <w:p w14:paraId="26762E48" w14:textId="77777777" w:rsidR="004856D9" w:rsidRDefault="0089733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EDA4C10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3" w:name="ArtL1_AE-3-A5"/>
      <w:bookmarkStart w:id="14" w:name="_Toc201579160"/>
      <w:bookmarkEnd w:id="13"/>
      <w:r>
        <w:rPr>
          <w:rFonts w:eastAsia="Arial"/>
          <w:color w:val="000000"/>
          <w:sz w:val="28"/>
          <w:lang w:val="fr-FR"/>
        </w:rPr>
        <w:t>5 - Prix</w:t>
      </w:r>
      <w:bookmarkEnd w:id="14"/>
    </w:p>
    <w:p w14:paraId="37A4B55D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4CE896D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4856D9" w:rsidRPr="000141E3" w14:paraId="0150E641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EFDE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4856D9" w:rsidRPr="000141E3" w14:paraId="31DB6056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DED7C" w14:textId="77777777" w:rsidR="004856D9" w:rsidRPr="00877E9C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FF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color w:val="FF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656C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A822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DCB8D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9BFB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AD69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4856D9" w14:paraId="38C5BDF1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9477" w14:textId="77777777" w:rsidR="004856D9" w:rsidRPr="00877E9C" w:rsidRDefault="00897339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color w:val="FF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color w:val="FF0000"/>
                <w:sz w:val="22"/>
                <w:lang w:val="fr-FR"/>
              </w:rPr>
              <w:t>0</w:t>
            </w:r>
            <w:r w:rsidR="00AC6710" w:rsidRPr="00877E9C">
              <w:rPr>
                <w:rFonts w:ascii="Arial" w:eastAsia="Arial" w:hAnsi="Arial" w:cs="Arial"/>
                <w:color w:val="FF0000"/>
                <w:sz w:val="22"/>
                <w:lang w:val="fr-FR"/>
              </w:rPr>
              <w:t>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B6F2B" w14:textId="77777777" w:rsidR="004856D9" w:rsidRPr="00AC6710" w:rsidRDefault="00AC671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  <w:r w:rsidRPr="00AC6710">
              <w:rPr>
                <w:rFonts w:ascii="Arial" w:hAnsi="Arial" w:cs="Arial"/>
                <w:sz w:val="22"/>
                <w:szCs w:val="22"/>
                <w:lang w:val="fr-FR"/>
              </w:rPr>
              <w:t>ête de mannequin de crash standard modèle Hybride 3 / 50%, équipée du cou et de la nuque permettant l’insertion d’un capteur de force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D1F0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ADD7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0026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92FE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14:paraId="15148BB6" w14:textId="77777777" w:rsidR="004856D9" w:rsidRDefault="00897339">
      <w:pPr>
        <w:spacing w:after="20" w:line="240" w:lineRule="exact"/>
      </w:pPr>
      <w:r>
        <w:t xml:space="preserve"> </w:t>
      </w:r>
    </w:p>
    <w:p w14:paraId="504091B1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58222591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139"/>
        <w:gridCol w:w="2880"/>
        <w:gridCol w:w="2920"/>
      </w:tblGrid>
      <w:tr w:rsidR="004856D9" w14:paraId="31F4431E" w14:textId="77777777" w:rsidTr="00AC6710">
        <w:trPr>
          <w:trHeight w:val="25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080597" w14:textId="77777777" w:rsidR="004856D9" w:rsidRPr="00877E9C" w:rsidRDefault="00897339">
            <w:pPr>
              <w:pStyle w:val="tableCH"/>
              <w:jc w:val="center"/>
              <w:rPr>
                <w:color w:val="FF0000"/>
                <w:lang w:val="fr-FR"/>
              </w:rPr>
            </w:pPr>
            <w:r w:rsidRPr="00877E9C">
              <w:rPr>
                <w:color w:val="FF0000"/>
                <w:lang w:val="fr-FR"/>
              </w:rPr>
              <w:t>Lot(s)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CB4A80" w14:textId="77777777" w:rsidR="004856D9" w:rsidRDefault="008973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F5BF67" w14:textId="77777777" w:rsidR="004856D9" w:rsidRDefault="008973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BCC761" w14:textId="77777777" w:rsidR="004856D9" w:rsidRDefault="008973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B39C2D5" w14:textId="77777777" w:rsidR="004856D9" w:rsidRDefault="0089733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4856D9" w14:paraId="2901EBF4" w14:textId="77777777" w:rsidTr="00AC6710">
        <w:trPr>
          <w:trHeight w:val="87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F924B" w14:textId="77777777" w:rsidR="004856D9" w:rsidRPr="00877E9C" w:rsidRDefault="00897339">
            <w:pPr>
              <w:pStyle w:val="tableTD"/>
              <w:rPr>
                <w:color w:val="FF0000"/>
                <w:lang w:val="fr-FR"/>
              </w:rPr>
            </w:pPr>
            <w:r w:rsidRPr="00877E9C">
              <w:rPr>
                <w:color w:val="FF0000"/>
                <w:lang w:val="fr-FR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C0A29" w14:textId="77777777" w:rsidR="004856D9" w:rsidRDefault="00897339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PSE01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7FE823E" w14:textId="77777777" w:rsidR="004856D9" w:rsidRDefault="00897339">
            <w:pPr>
              <w:pStyle w:val="tableTD"/>
              <w:spacing w:line="253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Fourniture d’un thorax hybride H3 50th, compatible avec la tête et le cou.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9D74999" w14:textId="77777777" w:rsidR="004856D9" w:rsidRDefault="0089733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2F4F4B" w14:textId="77777777" w:rsidR="004856D9" w:rsidRDefault="00AC671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</w:tr>
    </w:tbl>
    <w:p w14:paraId="49C5C535" w14:textId="77777777" w:rsidR="00AC6710" w:rsidRDefault="00AC6710">
      <w:pPr>
        <w:pStyle w:val="Titre1"/>
        <w:rPr>
          <w:rFonts w:eastAsia="Arial"/>
          <w:color w:val="000000"/>
          <w:sz w:val="28"/>
          <w:lang w:val="fr-FR"/>
        </w:rPr>
      </w:pPr>
      <w:bookmarkStart w:id="15" w:name="ArtL1_AE-3-A6"/>
      <w:bookmarkEnd w:id="15"/>
    </w:p>
    <w:p w14:paraId="432B6CBA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_Toc201579161"/>
      <w:r>
        <w:rPr>
          <w:rFonts w:eastAsia="Arial"/>
          <w:color w:val="000000"/>
          <w:sz w:val="28"/>
          <w:lang w:val="fr-FR"/>
        </w:rPr>
        <w:t>6 - Durée et Délais d'exécution</w:t>
      </w:r>
      <w:bookmarkEnd w:id="16"/>
    </w:p>
    <w:p w14:paraId="73F6F9AD" w14:textId="77777777" w:rsidR="00AC6710" w:rsidRDefault="00AC6710" w:rsidP="00AC671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propre à chaque lot est proposé(e) par le candidat comme suit :</w:t>
      </w:r>
    </w:p>
    <w:p w14:paraId="64D56771" w14:textId="77777777" w:rsidR="00AC6710" w:rsidRDefault="00AC6710" w:rsidP="00AC6710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5566"/>
        <w:gridCol w:w="2976"/>
      </w:tblGrid>
      <w:tr w:rsidR="00AC6710" w14:paraId="2DA57928" w14:textId="77777777" w:rsidTr="00AC6710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5528" w14:textId="77777777" w:rsidR="00AC6710" w:rsidRPr="00877E9C" w:rsidRDefault="00AC6710" w:rsidP="00961663">
            <w:pPr>
              <w:spacing w:before="140" w:after="40"/>
              <w:jc w:val="center"/>
              <w:rPr>
                <w:rFonts w:ascii="Arial" w:eastAsia="Arial" w:hAnsi="Arial" w:cs="Arial"/>
                <w:color w:val="FF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color w:val="FF0000"/>
                <w:sz w:val="22"/>
                <w:lang w:val="fr-FR"/>
              </w:rPr>
              <w:t>Lot(s)</w:t>
            </w:r>
          </w:p>
        </w:tc>
        <w:tc>
          <w:tcPr>
            <w:tcW w:w="55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CA14" w14:textId="77777777" w:rsidR="00AC6710" w:rsidRDefault="00AC6710" w:rsidP="0096166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4658" w14:textId="77777777" w:rsidR="00AC6710" w:rsidRDefault="00AC6710" w:rsidP="0096166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Délai proposé (en semaines)</w:t>
            </w:r>
          </w:p>
        </w:tc>
      </w:tr>
      <w:tr w:rsidR="00AC6710" w14:paraId="384E8C56" w14:textId="77777777" w:rsidTr="00AC6710">
        <w:trPr>
          <w:trHeight w:val="346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CF8B" w14:textId="77777777" w:rsidR="00AC6710" w:rsidRPr="00877E9C" w:rsidRDefault="00AC6710" w:rsidP="00AC6710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FF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color w:val="FF0000"/>
                <w:sz w:val="22"/>
                <w:lang w:val="fr-FR"/>
              </w:rPr>
              <w:t>03</w:t>
            </w:r>
          </w:p>
        </w:tc>
        <w:tc>
          <w:tcPr>
            <w:tcW w:w="5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E370" w14:textId="77777777" w:rsidR="00AC6710" w:rsidRDefault="00AC6710" w:rsidP="00961663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  <w:r w:rsidRPr="00AC6710">
              <w:rPr>
                <w:rFonts w:ascii="Arial" w:hAnsi="Arial" w:cs="Arial"/>
                <w:sz w:val="22"/>
                <w:szCs w:val="22"/>
                <w:lang w:val="fr-FR"/>
              </w:rPr>
              <w:t>ête de mannequin de crash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EE4B" w14:textId="77777777" w:rsidR="00AC6710" w:rsidRPr="00E91BC4" w:rsidRDefault="00AC6710" w:rsidP="0096166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highlight w:val="yellow"/>
                <w:lang w:val="fr-FR"/>
              </w:rPr>
            </w:pPr>
            <w:r w:rsidRPr="00E91BC4">
              <w:rPr>
                <w:rFonts w:ascii="Arial" w:eastAsia="Arial" w:hAnsi="Arial" w:cs="Arial"/>
                <w:color w:val="000000"/>
                <w:sz w:val="22"/>
                <w:highlight w:val="yellow"/>
                <w:lang w:val="fr-FR"/>
              </w:rPr>
              <w:t>..................</w:t>
            </w:r>
          </w:p>
        </w:tc>
      </w:tr>
      <w:tr w:rsidR="00AC6710" w:rsidRPr="00AC6710" w14:paraId="2EB0EE1F" w14:textId="77777777" w:rsidTr="00AC6710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97F5" w14:textId="77777777" w:rsidR="00AC6710" w:rsidRDefault="00AC6710" w:rsidP="00961663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5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46E3D" w14:textId="77777777" w:rsidR="00AC6710" w:rsidRDefault="00AC6710" w:rsidP="00961663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Tête de mannequin +PSE1 Thorax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0B00" w14:textId="77777777" w:rsidR="00AC6710" w:rsidRPr="00E91BC4" w:rsidRDefault="00AC6710" w:rsidP="0096166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highlight w:val="yellow"/>
                <w:lang w:val="fr-FR"/>
              </w:rPr>
            </w:pPr>
            <w:r w:rsidRPr="00E91BC4">
              <w:rPr>
                <w:rFonts w:ascii="Arial" w:eastAsia="Arial" w:hAnsi="Arial" w:cs="Arial"/>
                <w:color w:val="000000"/>
                <w:sz w:val="22"/>
                <w:highlight w:val="yellow"/>
                <w:lang w:val="fr-FR"/>
              </w:rPr>
              <w:t>..................</w:t>
            </w:r>
          </w:p>
        </w:tc>
      </w:tr>
    </w:tbl>
    <w:p w14:paraId="54ABDD1F" w14:textId="77777777" w:rsidR="004856D9" w:rsidRPr="00AC6710" w:rsidRDefault="00897339">
      <w:pPr>
        <w:spacing w:after="20" w:line="240" w:lineRule="exact"/>
        <w:rPr>
          <w:lang w:val="fr-FR"/>
        </w:rPr>
      </w:pPr>
      <w:r w:rsidRPr="00AC6710">
        <w:rPr>
          <w:lang w:val="fr-FR"/>
        </w:rPr>
        <w:t xml:space="preserve"> </w:t>
      </w:r>
    </w:p>
    <w:p w14:paraId="604EE180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8"/>
      <w:bookmarkStart w:id="18" w:name="_Toc201579162"/>
      <w:bookmarkEnd w:id="17"/>
      <w:r>
        <w:rPr>
          <w:rFonts w:eastAsia="Arial"/>
          <w:color w:val="000000"/>
          <w:sz w:val="28"/>
          <w:lang w:val="fr-FR"/>
        </w:rPr>
        <w:t>7 - Paiement</w:t>
      </w:r>
      <w:bookmarkEnd w:id="18"/>
    </w:p>
    <w:p w14:paraId="4D2DD346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20F1438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6D9" w14:paraId="5C57C6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7A8D8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55417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91BB1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C910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4EAA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9C6E8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98171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7A8E2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ADFF4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BACA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BE0E7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C800F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4CD7D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C045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5728A4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2638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2281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E2DEE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1A69B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1581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D54DE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F3D5C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1DB3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36602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DFE8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B833A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B786FA2" w14:textId="77777777" w:rsidR="004856D9" w:rsidRDefault="0089733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6D9" w14:paraId="581C45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F77B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15811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C3100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F1AE6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7B75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FE104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0EFC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B83E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EA39F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FF192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3543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29854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A597F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81C7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8E0D6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5DBD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0B6C8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4EE78E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05776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8202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B8FBE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2C621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79C9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C6216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DA6F9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B4DB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A0F2AA7" w14:textId="77777777" w:rsidR="004856D9" w:rsidRDefault="00897339">
      <w:pPr>
        <w:spacing w:after="20" w:line="240" w:lineRule="exact"/>
      </w:pPr>
      <w:r>
        <w:t xml:space="preserve"> </w:t>
      </w:r>
    </w:p>
    <w:p w14:paraId="22E401EA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02A3F28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0141E3" w14:paraId="247FAF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B082" w14:textId="77777777" w:rsidR="004856D9" w:rsidRDefault="00877E9C">
            <w:pPr>
              <w:rPr>
                <w:sz w:val="2"/>
              </w:rPr>
            </w:pPr>
            <w:r>
              <w:pict w14:anchorId="12485B22">
                <v:shape id="_x0000_i1033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2FF0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D351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16B83C0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0141E3" w14:paraId="07E69A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4A86" w14:textId="77777777" w:rsidR="004856D9" w:rsidRDefault="00877E9C">
            <w:pPr>
              <w:rPr>
                <w:sz w:val="2"/>
              </w:rPr>
            </w:pPr>
            <w:r>
              <w:pict w14:anchorId="7CDCE95C">
                <v:shape id="_x0000_i1034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9AE2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EB5A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856D9" w:rsidRPr="000141E3" w14:paraId="5B88EE69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16921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E7E8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B614" w14:textId="77777777" w:rsidR="004856D9" w:rsidRPr="00897339" w:rsidRDefault="004856D9">
            <w:pPr>
              <w:rPr>
                <w:lang w:val="fr-FR"/>
              </w:rPr>
            </w:pPr>
          </w:p>
        </w:tc>
      </w:tr>
    </w:tbl>
    <w:p w14:paraId="2F2F277C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F0A84C2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193CF9C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9"/>
      <w:bookmarkStart w:id="20" w:name="_Toc201579163"/>
      <w:bookmarkEnd w:id="19"/>
      <w:r>
        <w:rPr>
          <w:rFonts w:eastAsia="Arial"/>
          <w:color w:val="000000"/>
          <w:sz w:val="28"/>
          <w:lang w:val="fr-FR"/>
        </w:rPr>
        <w:t>8 - Avance</w:t>
      </w:r>
      <w:bookmarkEnd w:id="20"/>
    </w:p>
    <w:p w14:paraId="6E9051EF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1A43BDB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6F1FFE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081E" w14:textId="77777777" w:rsidR="004856D9" w:rsidRDefault="00877E9C">
            <w:pPr>
              <w:rPr>
                <w:sz w:val="2"/>
              </w:rPr>
            </w:pPr>
            <w:r>
              <w:pict w14:anchorId="41F16F99">
                <v:shape id="_x0000_i1035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92C47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A7A4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9677FCF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17EBAA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F227" w14:textId="77777777" w:rsidR="004856D9" w:rsidRDefault="00877E9C">
            <w:pPr>
              <w:rPr>
                <w:sz w:val="2"/>
              </w:rPr>
            </w:pPr>
            <w:r>
              <w:pict w14:anchorId="6653201D">
                <v:shape id="_x0000_i1036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A6B9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D7E7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04A4A2" w14:textId="77777777" w:rsidR="004856D9" w:rsidRDefault="00897339" w:rsidP="00E91BC4">
      <w:pPr>
        <w:pStyle w:val="ParagrapheIndent1"/>
        <w:spacing w:before="120" w:after="1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82CC81A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11"/>
      <w:bookmarkStart w:id="22" w:name="_Toc201579164"/>
      <w:bookmarkEnd w:id="21"/>
      <w:r>
        <w:rPr>
          <w:rFonts w:eastAsia="Arial"/>
          <w:color w:val="000000"/>
          <w:sz w:val="28"/>
          <w:lang w:val="fr-FR"/>
        </w:rPr>
        <w:t>9 - Nomenclature(s)</w:t>
      </w:r>
      <w:bookmarkEnd w:id="22"/>
    </w:p>
    <w:p w14:paraId="09053A7B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8A13A88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856D9" w14:paraId="1434E9A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2F93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EEC6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AC6710" w:rsidRPr="000141E3" w14:paraId="41233D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E589" w14:textId="77777777" w:rsidR="00AC6710" w:rsidRDefault="00AC6710" w:rsidP="00AC6710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38540000-2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9202" w14:textId="77777777" w:rsidR="00AC6710" w:rsidRDefault="00AC6710" w:rsidP="00AC6710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Machines et appareils d'essai et de mesure</w:t>
            </w:r>
          </w:p>
        </w:tc>
      </w:tr>
    </w:tbl>
    <w:p w14:paraId="7FF6863B" w14:textId="77777777" w:rsidR="004856D9" w:rsidRPr="00897339" w:rsidRDefault="004856D9">
      <w:pPr>
        <w:spacing w:after="20" w:line="240" w:lineRule="exact"/>
        <w:rPr>
          <w:lang w:val="fr-FR"/>
        </w:rPr>
      </w:pPr>
    </w:p>
    <w:p w14:paraId="2F887707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14B091C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4856D9" w:rsidRPr="000141E3" w14:paraId="18575C0B" w14:textId="77777777" w:rsidTr="00AC6710">
        <w:trPr>
          <w:trHeight w:val="874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495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7395"/>
            </w:tblGrid>
            <w:tr w:rsidR="004856D9" w14:paraId="32C86A27" w14:textId="77777777" w:rsidTr="00AC6710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9282D" w14:textId="77777777" w:rsidR="004856D9" w:rsidRPr="00877E9C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FF0000"/>
                      <w:sz w:val="22"/>
                      <w:lang w:val="fr-FR"/>
                    </w:rPr>
                  </w:pPr>
                  <w:r w:rsidRPr="00877E9C">
                    <w:rPr>
                      <w:rFonts w:ascii="Arial" w:eastAsia="Arial" w:hAnsi="Arial" w:cs="Arial"/>
                      <w:color w:val="FF0000"/>
                      <w:sz w:val="22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7183F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Nomenclature</w:t>
                  </w:r>
                </w:p>
              </w:tc>
              <w:tc>
                <w:tcPr>
                  <w:tcW w:w="739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9F0D2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Libellé</w:t>
                  </w:r>
                </w:p>
              </w:tc>
            </w:tr>
            <w:tr w:rsidR="004856D9" w:rsidRPr="000141E3" w14:paraId="65F49C8F" w14:textId="77777777" w:rsidTr="00AC6710">
              <w:trPr>
                <w:trHeight w:val="4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D9D270B" w14:textId="77777777" w:rsidR="004856D9" w:rsidRPr="00877E9C" w:rsidRDefault="00897339">
                  <w:pPr>
                    <w:jc w:val="center"/>
                    <w:rPr>
                      <w:rFonts w:ascii="Arial" w:eastAsia="Arial" w:hAnsi="Arial" w:cs="Arial"/>
                      <w:color w:val="FF0000"/>
                      <w:sz w:val="22"/>
                      <w:lang w:val="fr-FR"/>
                    </w:rPr>
                  </w:pPr>
                  <w:r w:rsidRPr="00877E9C">
                    <w:rPr>
                      <w:rFonts w:ascii="Arial" w:eastAsia="Arial" w:hAnsi="Arial" w:cs="Arial"/>
                      <w:color w:val="FF0000"/>
                      <w:sz w:val="22"/>
                      <w:lang w:val="fr-FR"/>
                    </w:rPr>
                    <w:t>03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FB8C6" w14:textId="77777777" w:rsidR="004856D9" w:rsidRDefault="00897339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TA03</w:t>
                  </w:r>
                </w:p>
              </w:tc>
              <w:tc>
                <w:tcPr>
                  <w:tcW w:w="73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04D5C" w14:textId="77777777" w:rsidR="004856D9" w:rsidRDefault="00897339">
                  <w:pPr>
                    <w:spacing w:line="253" w:lineRule="exact"/>
                    <w:ind w:left="80" w:right="80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SOUS-ENSEMBLES MECANIQUES POUR L'ELECTRONIQUE (CHASSIS, BAIES, COFFRETS,?)</w:t>
                  </w:r>
                </w:p>
              </w:tc>
            </w:tr>
          </w:tbl>
          <w:p w14:paraId="7427077E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</w:tr>
    </w:tbl>
    <w:p w14:paraId="6A72E1CB" w14:textId="77777777" w:rsidR="004856D9" w:rsidRPr="00897339" w:rsidRDefault="004856D9">
      <w:pPr>
        <w:rPr>
          <w:lang w:val="fr-FR"/>
        </w:rPr>
        <w:sectPr w:rsidR="004856D9" w:rsidRPr="00897339">
          <w:footerReference w:type="default" r:id="rId14"/>
          <w:pgSz w:w="11900" w:h="16840"/>
          <w:pgMar w:top="580" w:right="580" w:bottom="280" w:left="860" w:header="580" w:footer="280" w:gutter="0"/>
          <w:cols w:space="708"/>
        </w:sectPr>
      </w:pPr>
    </w:p>
    <w:p w14:paraId="544D13BE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4"/>
      <w:bookmarkStart w:id="24" w:name="_Toc201579165"/>
      <w:bookmarkEnd w:id="23"/>
      <w:r>
        <w:rPr>
          <w:rFonts w:eastAsia="Arial"/>
          <w:color w:val="000000"/>
          <w:sz w:val="28"/>
          <w:lang w:val="fr-FR"/>
        </w:rPr>
        <w:lastRenderedPageBreak/>
        <w:t>10 - Signature</w:t>
      </w:r>
      <w:bookmarkEnd w:id="24"/>
    </w:p>
    <w:p w14:paraId="2BFB488D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21B0B9B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29936F7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ADE6CAA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FB5B73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2F00C43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E135D19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7E7848A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7D470BC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BF5A487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9B5ACC8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39B2310D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1082A3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8706290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5A81DC64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42F0DD5E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2D692E59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3723E5F2" w14:textId="77777777" w:rsidR="004856D9" w:rsidRDefault="004856D9">
      <w:pPr>
        <w:pStyle w:val="style1010"/>
        <w:spacing w:after="240" w:line="253" w:lineRule="exact"/>
        <w:ind w:right="40"/>
        <w:jc w:val="center"/>
        <w:rPr>
          <w:color w:val="000000"/>
          <w:lang w:val="fr-FR"/>
        </w:rPr>
      </w:pPr>
    </w:p>
    <w:p w14:paraId="7739580B" w14:textId="77777777" w:rsidR="004856D9" w:rsidRDefault="0089733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4856D9" w:rsidRPr="000141E3" w14:paraId="32122A01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83BF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4856D9" w14:paraId="78472358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2653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67E546AB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0C86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E5AEE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25AA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15C8D65C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349A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6BF2E616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DAA4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0ADDC123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TTC</w:t>
            </w:r>
          </w:p>
        </w:tc>
      </w:tr>
      <w:tr w:rsidR="004856D9" w14:paraId="5694324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D9AF" w14:textId="77777777" w:rsidR="004856D9" w:rsidRDefault="004856D9">
            <w:pPr>
              <w:spacing w:line="60" w:lineRule="exact"/>
              <w:rPr>
                <w:sz w:val="6"/>
              </w:rPr>
            </w:pPr>
          </w:p>
          <w:p w14:paraId="6662EC02" w14:textId="77777777" w:rsidR="004856D9" w:rsidRDefault="00877E9C">
            <w:pPr>
              <w:ind w:left="320"/>
              <w:rPr>
                <w:sz w:val="2"/>
              </w:rPr>
            </w:pPr>
            <w:r>
              <w:pict w14:anchorId="1E03E914">
                <v:shape id="_x0000_i1037" type="#_x0000_t75" style="width:10.15pt;height:10.15pt">
                  <v:imagedata r:id="rId13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F5F8" w14:textId="77777777" w:rsidR="004856D9" w:rsidRPr="00877E9C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FF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color w:val="FF0000"/>
                <w:sz w:val="22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D24DA" w14:textId="77777777" w:rsidR="004856D9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Cible vulnérable</w:t>
            </w:r>
            <w:r w:rsidR="00AC6710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 : </w:t>
            </w:r>
            <w:r w:rsidR="00AC6710"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  <w:r w:rsidR="00AC6710" w:rsidRPr="00AC6710">
              <w:rPr>
                <w:rFonts w:ascii="Arial" w:hAnsi="Arial" w:cs="Arial"/>
                <w:sz w:val="22"/>
                <w:szCs w:val="22"/>
                <w:lang w:val="fr-FR"/>
              </w:rPr>
              <w:t>ête de mannequin de crash standard modèle Hybride 3 / 50%, équipée du cou et de la nuque permettant l’insertion d’un capteur de force</w:t>
            </w:r>
            <w:r w:rsidR="00AC6710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9F7A" w14:textId="77777777" w:rsidR="004856D9" w:rsidRDefault="0089733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F4D1" w14:textId="77777777" w:rsidR="004856D9" w:rsidRDefault="0089733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EC8A" w14:textId="77777777" w:rsidR="004856D9" w:rsidRDefault="0089733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w14:paraId="0E5A17A7" w14:textId="77777777" w:rsidR="004856D9" w:rsidRDefault="00897339">
      <w:pPr>
        <w:spacing w:after="20" w:line="240" w:lineRule="exact"/>
      </w:pPr>
      <w:r>
        <w:t xml:space="preserve"> </w:t>
      </w:r>
    </w:p>
    <w:p w14:paraId="314A222F" w14:textId="77777777" w:rsidR="004856D9" w:rsidRDefault="00897339">
      <w:pPr>
        <w:spacing w:before="20"/>
        <w:ind w:left="500" w:right="136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Prestation(s) supplémentaire(s) éventuelle(s) retenue(s)</w:t>
      </w: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851"/>
        <w:gridCol w:w="979"/>
        <w:gridCol w:w="4124"/>
        <w:gridCol w:w="1134"/>
        <w:gridCol w:w="1276"/>
        <w:gridCol w:w="1276"/>
      </w:tblGrid>
      <w:tr w:rsidR="00AC6710" w14:paraId="537A7984" w14:textId="77777777" w:rsidTr="00307DB7">
        <w:trPr>
          <w:trHeight w:val="29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279D" w14:textId="77777777" w:rsidR="00AC6710" w:rsidRDefault="00AC6710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270E7" w14:textId="77777777" w:rsidR="00AC6710" w:rsidRDefault="00AC6710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</w:t>
            </w:r>
          </w:p>
        </w:tc>
        <w:tc>
          <w:tcPr>
            <w:tcW w:w="4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109B" w14:textId="77777777" w:rsidR="00AC6710" w:rsidRDefault="00AC6710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3D71C" w14:textId="77777777" w:rsidR="00AC6710" w:rsidRDefault="00AC6710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0202DFA" w14:textId="77777777" w:rsidR="00AC6710" w:rsidRDefault="00AC6710" w:rsidP="00AC671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4D90C3BC" w14:textId="77777777" w:rsidR="00AC6710" w:rsidRDefault="00AC6710" w:rsidP="00AC6710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1DD10" w14:textId="77777777" w:rsidR="00AC6710" w:rsidRDefault="00AC6710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C6710" w14:paraId="5B4A79A3" w14:textId="77777777" w:rsidTr="00AC6710">
        <w:trPr>
          <w:trHeight w:val="65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9A77" w14:textId="77777777" w:rsidR="00AC6710" w:rsidRPr="00877E9C" w:rsidRDefault="00AC6710" w:rsidP="00AC6710">
            <w:pPr>
              <w:spacing w:before="80" w:after="20"/>
              <w:jc w:val="center"/>
              <w:rPr>
                <w:rFonts w:ascii="Arial" w:eastAsia="Arial" w:hAnsi="Arial" w:cs="Arial"/>
                <w:color w:val="FF0000"/>
                <w:sz w:val="22"/>
                <w:lang w:val="fr-FR"/>
              </w:rPr>
            </w:pPr>
            <w:r w:rsidRPr="00877E9C">
              <w:rPr>
                <w:rFonts w:ascii="Arial" w:eastAsia="Arial" w:hAnsi="Arial" w:cs="Arial"/>
                <w:color w:val="FF0000"/>
                <w:sz w:val="22"/>
                <w:lang w:val="fr-FR"/>
              </w:rPr>
              <w:t>03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9516" w14:textId="77777777" w:rsidR="00AC6710" w:rsidRDefault="00AC6710" w:rsidP="00AC671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PSE01</w:t>
            </w:r>
          </w:p>
        </w:tc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15E8" w14:textId="77777777" w:rsidR="00AC6710" w:rsidRDefault="00AC6710" w:rsidP="00AC6710">
            <w:pPr>
              <w:spacing w:line="253" w:lineRule="exact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Fourniture d’un thorax hybride H3 50th, compatible avec la tête et le cou.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1F80" w14:textId="77777777" w:rsidR="00AC6710" w:rsidRDefault="00AC6710" w:rsidP="00AC6710">
            <w:pPr>
              <w:spacing w:before="3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85082" w14:textId="77777777" w:rsidR="00AC6710" w:rsidRDefault="00AC6710" w:rsidP="00AC6710">
            <w:pPr>
              <w:spacing w:before="3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715A" w14:textId="77777777" w:rsidR="00AC6710" w:rsidRDefault="00AC6710" w:rsidP="00AC6710">
            <w:pPr>
              <w:spacing w:before="3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</w:t>
            </w:r>
          </w:p>
        </w:tc>
      </w:tr>
    </w:tbl>
    <w:p w14:paraId="53294A4A" w14:textId="77777777" w:rsidR="00AC6710" w:rsidRDefault="00AC6710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213DE2F" w14:textId="77777777" w:rsidR="00AC6710" w:rsidRPr="00716895" w:rsidRDefault="00AC6710" w:rsidP="00AC6710">
      <w:pPr>
        <w:pStyle w:val="ParagrapheIndent1"/>
        <w:spacing w:line="253" w:lineRule="exact"/>
        <w:ind w:left="20" w:right="20"/>
        <w:jc w:val="both"/>
        <w:rPr>
          <w:b/>
          <w:color w:val="000000"/>
          <w:lang w:val="fr-FR"/>
        </w:rPr>
      </w:pPr>
      <w:r w:rsidRPr="00716895">
        <w:rPr>
          <w:b/>
          <w:color w:val="000000"/>
          <w:lang w:val="fr-FR"/>
        </w:rPr>
        <w:t>Le montant global de l'offre acceptée par le pouvoir adjudicateur est porté à :</w:t>
      </w:r>
    </w:p>
    <w:p w14:paraId="7F3FA117" w14:textId="77777777" w:rsidR="00AC6710" w:rsidRDefault="00AC6710" w:rsidP="00AC6710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C6710" w14:paraId="7C7D0117" w14:textId="77777777" w:rsidTr="0096166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DE79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B02E" w14:textId="77777777" w:rsidR="00AC6710" w:rsidRDefault="00AC6710" w:rsidP="0096166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C7F4" w14:textId="77777777" w:rsidR="00AC6710" w:rsidRDefault="00AC6710" w:rsidP="009616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9D0D" w14:textId="77777777" w:rsidR="00AC6710" w:rsidRDefault="00AC6710" w:rsidP="00961663">
            <w:pPr>
              <w:ind w:left="3338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0,00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9EB83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C6710" w14:paraId="0BB8BB6E" w14:textId="77777777" w:rsidTr="0096166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BCE6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20%)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EB2FA" w14:textId="77777777" w:rsidR="00AC6710" w:rsidRDefault="00AC6710" w:rsidP="0096166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4D81F" w14:textId="77777777" w:rsidR="00AC6710" w:rsidRDefault="00AC6710" w:rsidP="009616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D2B0" w14:textId="77777777" w:rsidR="00AC6710" w:rsidRDefault="00AC6710" w:rsidP="00961663">
            <w:pPr>
              <w:ind w:left="3338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0,00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70F9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C6710" w14:paraId="6654DA2E" w14:textId="77777777" w:rsidTr="0096166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1C90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3A397" w14:textId="77777777" w:rsidR="00AC6710" w:rsidRDefault="00AC6710" w:rsidP="0096166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CB8C" w14:textId="77777777" w:rsidR="00AC6710" w:rsidRDefault="00AC6710" w:rsidP="009616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7EB7" w14:textId="77777777" w:rsidR="00AC6710" w:rsidRDefault="00AC6710" w:rsidP="00961663">
            <w:pPr>
              <w:ind w:left="3338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0,00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22FEA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C6710" w:rsidRPr="00AC6710" w14:paraId="08CFEB70" w14:textId="77777777" w:rsidTr="0096166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FD10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2D4D" w14:textId="77777777" w:rsidR="00AC6710" w:rsidRDefault="00AC6710" w:rsidP="0096166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9853" w14:textId="77777777" w:rsidR="00AC6710" w:rsidRDefault="00AC6710" w:rsidP="0096166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6838" w14:textId="77777777" w:rsidR="00AC6710" w:rsidRDefault="00AC6710" w:rsidP="0096166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cent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</w:t>
            </w:r>
          </w:p>
        </w:tc>
      </w:tr>
    </w:tbl>
    <w:p w14:paraId="2B87E74B" w14:textId="77777777" w:rsidR="00AC6710" w:rsidRPr="00AC6710" w:rsidRDefault="00AC6710" w:rsidP="00AC6710">
      <w:pPr>
        <w:rPr>
          <w:lang w:val="fr-FR"/>
        </w:rPr>
      </w:pPr>
    </w:p>
    <w:p w14:paraId="17C0FAFF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169D7E9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48CE63A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14:paraId="1C691E15" w14:textId="77777777" w:rsidR="004856D9" w:rsidRDefault="00897339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w14:paraId="07B3CB66" w14:textId="77777777" w:rsidR="004856D9" w:rsidRPr="00AC6710" w:rsidRDefault="004856D9">
      <w:pPr>
        <w:spacing w:line="240" w:lineRule="exact"/>
        <w:rPr>
          <w:lang w:val="fr-FR"/>
        </w:rPr>
      </w:pPr>
    </w:p>
    <w:p w14:paraId="178EAB46" w14:textId="77777777" w:rsidR="004856D9" w:rsidRPr="00AC6710" w:rsidRDefault="004856D9">
      <w:pPr>
        <w:spacing w:line="240" w:lineRule="exact"/>
        <w:rPr>
          <w:lang w:val="fr-FR"/>
        </w:rPr>
      </w:pPr>
    </w:p>
    <w:p w14:paraId="574D5E24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14:paraId="4E217061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14:paraId="73E12941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1FF891A9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...</w:t>
      </w:r>
    </w:p>
    <w:p w14:paraId="1DF8BB5E" w14:textId="77777777" w:rsidR="004856D9" w:rsidRDefault="004856D9">
      <w:pPr>
        <w:pStyle w:val="ParagrapheIndent1"/>
        <w:spacing w:after="80" w:line="253" w:lineRule="exact"/>
        <w:jc w:val="both"/>
        <w:rPr>
          <w:color w:val="000000"/>
          <w:lang w:val="fr-FR"/>
        </w:rPr>
        <w:sectPr w:rsidR="004856D9">
          <w:footerReference w:type="default" r:id="rId15"/>
          <w:pgSz w:w="11900" w:h="16840"/>
          <w:pgMar w:top="580" w:right="580" w:bottom="280" w:left="860" w:header="580" w:footer="280" w:gutter="0"/>
          <w:cols w:space="708"/>
        </w:sectPr>
      </w:pPr>
    </w:p>
    <w:p w14:paraId="6A38B6C0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...</w:t>
      </w:r>
    </w:p>
    <w:p w14:paraId="1CC7C708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372B4B3C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2F201A9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9366119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3FD882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D877" w14:textId="77777777" w:rsidR="004856D9" w:rsidRDefault="00877E9C">
            <w:pPr>
              <w:rPr>
                <w:sz w:val="2"/>
              </w:rPr>
            </w:pPr>
            <w:r>
              <w:pict w14:anchorId="1711775D">
                <v:shape id="_x0000_i1038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84C03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CF74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60B701B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030CD2D9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3334E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318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853A" w14:textId="77777777" w:rsidR="004856D9" w:rsidRDefault="004856D9"/>
        </w:tc>
      </w:tr>
    </w:tbl>
    <w:p w14:paraId="1E017AF8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1E842D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2F0C" w14:textId="77777777" w:rsidR="004856D9" w:rsidRDefault="00877E9C">
            <w:pPr>
              <w:rPr>
                <w:sz w:val="2"/>
              </w:rPr>
            </w:pPr>
            <w:r>
              <w:pict w14:anchorId="141CEF1F">
                <v:shape id="_x0000_i1039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4BD9F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B4391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93C0477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6F86F60D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A91B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48B3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D757" w14:textId="77777777" w:rsidR="004856D9" w:rsidRDefault="004856D9"/>
        </w:tc>
      </w:tr>
    </w:tbl>
    <w:p w14:paraId="279A3B92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7C261E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2AC7" w14:textId="77777777" w:rsidR="004856D9" w:rsidRDefault="00877E9C">
            <w:pPr>
              <w:rPr>
                <w:sz w:val="2"/>
              </w:rPr>
            </w:pPr>
            <w:r>
              <w:pict w14:anchorId="350E44EA">
                <v:shape id="_x0000_i1040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ECD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8239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D88976D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4C0D7298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1942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AD105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70B4" w14:textId="77777777" w:rsidR="004856D9" w:rsidRDefault="004856D9"/>
        </w:tc>
      </w:tr>
    </w:tbl>
    <w:p w14:paraId="3AF21CD1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65FCDA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85178" w14:textId="77777777" w:rsidR="004856D9" w:rsidRDefault="00877E9C">
            <w:pPr>
              <w:rPr>
                <w:sz w:val="2"/>
              </w:rPr>
            </w:pPr>
            <w:r>
              <w:pict w14:anchorId="7F7697E0">
                <v:shape id="_x0000_i1041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56B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E6B19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6AF8137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40708A42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1B7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363E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CC55" w14:textId="77777777" w:rsidR="004856D9" w:rsidRDefault="004856D9"/>
        </w:tc>
      </w:tr>
    </w:tbl>
    <w:p w14:paraId="3874D45A" w14:textId="77777777" w:rsidR="004856D9" w:rsidRDefault="0089733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424B67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5A62" w14:textId="77777777" w:rsidR="004856D9" w:rsidRDefault="00877E9C">
            <w:pPr>
              <w:rPr>
                <w:sz w:val="2"/>
              </w:rPr>
            </w:pPr>
            <w:r>
              <w:pict w14:anchorId="03AD6889">
                <v:shape id="_x0000_i1042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F4BB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F3AA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856D9" w14:paraId="1B8787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CA8CE" w14:textId="77777777" w:rsidR="004856D9" w:rsidRDefault="00877E9C">
            <w:pPr>
              <w:rPr>
                <w:sz w:val="2"/>
              </w:rPr>
            </w:pPr>
            <w:r>
              <w:pict w14:anchorId="2E90027F">
                <v:shape id="_x0000_i1043" type="#_x0000_t75" style="width:11.65pt;height:11.6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DC06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9AF52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97180FD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26E489E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BE4C603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428D6184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4856D9">
          <w:footerReference w:type="default" r:id="rId16"/>
          <w:pgSz w:w="11900" w:h="16840"/>
          <w:pgMar w:top="580" w:right="580" w:bottom="280" w:left="860" w:header="58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4E2EBAE" w14:textId="77777777" w:rsidR="004856D9" w:rsidRDefault="00897339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5" w:name="ArtL1_A-CT"/>
      <w:bookmarkStart w:id="26" w:name="_Toc201579166"/>
      <w:bookmarkEnd w:id="25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50784D2C" w14:textId="77777777" w:rsidR="004856D9" w:rsidRPr="00897339" w:rsidRDefault="004856D9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856D9" w14:paraId="14B18F5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7E75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1071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92E5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3ED8" w14:textId="77777777" w:rsidR="004856D9" w:rsidRDefault="00897339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7067D4A2" w14:textId="77777777" w:rsidR="004856D9" w:rsidRDefault="00897339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47D5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4856D9" w14:paraId="03441A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0790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3332A28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CE50A5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9CA5BDD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332DFDD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EC10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064A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34FA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2A78" w14:textId="77777777" w:rsidR="004856D9" w:rsidRDefault="004856D9"/>
        </w:tc>
      </w:tr>
      <w:tr w:rsidR="004856D9" w14:paraId="322397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696F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83CAF53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B1EF87E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E2FBE7B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8AB642D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F6FB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5AC7D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FED0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75BD" w14:textId="77777777" w:rsidR="004856D9" w:rsidRDefault="004856D9"/>
        </w:tc>
      </w:tr>
      <w:tr w:rsidR="004856D9" w14:paraId="5EC9A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7FF9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2EB2F2D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37DA245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5C71181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0F72C93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5CB68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43FA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9693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6D8D" w14:textId="77777777" w:rsidR="004856D9" w:rsidRDefault="004856D9"/>
        </w:tc>
      </w:tr>
      <w:tr w:rsidR="004856D9" w14:paraId="64C369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1BAB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4035E8A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04EB1DF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60A7468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A207CB1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7402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452C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977A9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5D99" w14:textId="77777777" w:rsidR="004856D9" w:rsidRDefault="004856D9"/>
        </w:tc>
      </w:tr>
      <w:tr w:rsidR="004856D9" w14:paraId="6AC3FC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F383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9EDA7FA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D52154A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10767D7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427602C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1533F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7ADD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6E78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3A092" w14:textId="77777777" w:rsidR="004856D9" w:rsidRDefault="004856D9"/>
        </w:tc>
      </w:tr>
      <w:tr w:rsidR="004856D9" w14:paraId="053C4E9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A0B7" w14:textId="77777777" w:rsidR="004856D9" w:rsidRDefault="004856D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E7886" w14:textId="77777777" w:rsidR="004856D9" w:rsidRDefault="0089733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AA30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B081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2021" w14:textId="77777777" w:rsidR="004856D9" w:rsidRDefault="004856D9"/>
        </w:tc>
      </w:tr>
    </w:tbl>
    <w:p w14:paraId="75A0681F" w14:textId="77777777" w:rsidR="004856D9" w:rsidRDefault="004856D9"/>
    <w:sectPr w:rsidR="004856D9">
      <w:footerReference w:type="default" r:id="rId1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7DA" w14:textId="77777777" w:rsidR="00665249" w:rsidRDefault="00665249">
      <w:r>
        <w:separator/>
      </w:r>
    </w:p>
  </w:endnote>
  <w:endnote w:type="continuationSeparator" w:id="0">
    <w:p w14:paraId="079FFD12" w14:textId="77777777" w:rsidR="00665249" w:rsidRDefault="0066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3813" w14:textId="77777777" w:rsidR="00877E9C" w:rsidRDefault="00877E9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9371" w14:textId="77777777" w:rsidR="00877E9C" w:rsidRDefault="00877E9C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7915" w14:textId="77777777" w:rsidR="00877E9C" w:rsidRDefault="00877E9C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29E" w14:textId="77777777" w:rsidR="004856D9" w:rsidRDefault="008973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7B5B49" w14:textId="77777777" w:rsidR="004856D9" w:rsidRPr="00897339" w:rsidRDefault="004856D9">
    <w:pPr>
      <w:spacing w:after="160" w:line="240" w:lineRule="exact"/>
      <w:rPr>
        <w:lang w:val="fr-FR"/>
      </w:rPr>
    </w:pPr>
  </w:p>
  <w:p w14:paraId="0869C8BA" w14:textId="77777777" w:rsidR="004856D9" w:rsidRPr="00897339" w:rsidRDefault="004856D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4856D9" w14:paraId="4CB4CD62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464CCD" w14:textId="77777777" w:rsidR="004856D9" w:rsidRDefault="008973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2025FCS0021</w:t>
          </w:r>
          <w:r w:rsidR="00AC6710">
            <w:rPr>
              <w:color w:val="000000"/>
              <w:lang w:val="fr-FR"/>
            </w:rPr>
            <w:t xml:space="preserve"> LOT3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FD4E61" w14:textId="77777777" w:rsidR="004856D9" w:rsidRDefault="008973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979B0" w14:textId="77777777" w:rsidR="004856D9" w:rsidRDefault="008973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C1E33B8" w14:textId="77777777" w:rsidR="004856D9" w:rsidRPr="00897339" w:rsidRDefault="004856D9">
    <w:pPr>
      <w:spacing w:after="160" w:line="240" w:lineRule="exact"/>
      <w:rPr>
        <w:lang w:val="fr-FR"/>
      </w:rPr>
    </w:pPr>
  </w:p>
  <w:p w14:paraId="0DB3116F" w14:textId="77777777" w:rsidR="004856D9" w:rsidRPr="00897339" w:rsidRDefault="004856D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4856D9" w14:paraId="13A21685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B07EE8" w14:textId="7932F889" w:rsidR="004856D9" w:rsidRDefault="008973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2025FCS0021</w:t>
          </w:r>
          <w:r w:rsidR="00877E9C">
            <w:rPr>
              <w:color w:val="000000"/>
              <w:lang w:val="fr-FR"/>
            </w:rPr>
            <w:t>. Lot 3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014ADE" w14:textId="77777777" w:rsidR="004856D9" w:rsidRDefault="008973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B3BE" w14:textId="77777777" w:rsidR="004856D9" w:rsidRDefault="008973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3AA6B8C" w14:textId="77777777" w:rsidR="004856D9" w:rsidRDefault="004856D9">
    <w:pPr>
      <w:spacing w:after="160" w:line="240" w:lineRule="exact"/>
    </w:pPr>
  </w:p>
  <w:p w14:paraId="7BECA66F" w14:textId="77777777" w:rsidR="004856D9" w:rsidRDefault="004856D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4856D9" w14:paraId="66F90213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B9E297" w14:textId="77777777" w:rsidR="004856D9" w:rsidRDefault="008973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3694D8" w14:textId="77777777" w:rsidR="004856D9" w:rsidRDefault="008973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856D9" w14:paraId="76E49B6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B7D37B" w14:textId="77777777" w:rsidR="004856D9" w:rsidRDefault="00897339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2025FCS0021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3900E9" w14:textId="77777777" w:rsidR="004856D9" w:rsidRDefault="00897339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D796F" w14:textId="77777777" w:rsidR="00665249" w:rsidRDefault="00665249">
      <w:r>
        <w:separator/>
      </w:r>
    </w:p>
  </w:footnote>
  <w:footnote w:type="continuationSeparator" w:id="0">
    <w:p w14:paraId="424CE471" w14:textId="77777777" w:rsidR="00665249" w:rsidRDefault="0066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C209" w14:textId="77777777" w:rsidR="00877E9C" w:rsidRDefault="00877E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520E" w14:textId="77777777" w:rsidR="00877E9C" w:rsidRDefault="00877E9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8266" w14:textId="77777777" w:rsidR="00877E9C" w:rsidRDefault="00877E9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6D9"/>
    <w:rsid w:val="000141E3"/>
    <w:rsid w:val="004856D9"/>
    <w:rsid w:val="004E10B0"/>
    <w:rsid w:val="00665249"/>
    <w:rsid w:val="007B2139"/>
    <w:rsid w:val="00877E9C"/>
    <w:rsid w:val="00897339"/>
    <w:rsid w:val="00AC6710"/>
    <w:rsid w:val="00E9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4:docId w14:val="55E66981"/>
  <w15:docId w15:val="{617107B8-AFBF-4CD1-8091-16AC2CC1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C67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C671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C67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C6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1772</Words>
  <Characters>9752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 COUDERC</cp:lastModifiedBy>
  <cp:revision>6</cp:revision>
  <dcterms:created xsi:type="dcterms:W3CDTF">2025-06-20T08:07:00Z</dcterms:created>
  <dcterms:modified xsi:type="dcterms:W3CDTF">2025-06-30T14:40:00Z</dcterms:modified>
</cp:coreProperties>
</file>